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9977C">
      <w:pPr>
        <w:spacing w:line="276" w:lineRule="auto"/>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银校合作办学专用设施（场地）使用</w:t>
      </w:r>
    </w:p>
    <w:p w14:paraId="0FE6D3C3">
      <w:pPr>
        <w:spacing w:line="276"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管理办法</w:t>
      </w:r>
    </w:p>
    <w:p w14:paraId="384E2865">
      <w:pPr>
        <w:keepNext w:val="0"/>
        <w:keepLines w:val="0"/>
        <w:pageBreakBefore w:val="0"/>
        <w:kinsoku/>
        <w:wordWrap/>
        <w:overflowPunct/>
        <w:topLinePunct w:val="0"/>
        <w:autoSpaceDE/>
        <w:autoSpaceDN/>
        <w:bidi w:val="0"/>
        <w:adjustRightInd/>
        <w:snapToGrid/>
        <w:spacing w:line="276" w:lineRule="auto"/>
        <w:ind w:leftChars="0" w:right="0"/>
        <w:jc w:val="center"/>
        <w:textAlignment w:val="auto"/>
        <w:rPr>
          <w:rFonts w:ascii="仿宋_GB2312" w:hAnsi="黑体" w:eastAsia="仿宋_GB2312"/>
          <w:sz w:val="32"/>
          <w:szCs w:val="32"/>
        </w:rPr>
      </w:pPr>
    </w:p>
    <w:p w14:paraId="6F6EA844">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 xml:space="preserve">第一章 </w:t>
      </w:r>
      <w:r>
        <w:rPr>
          <w:rFonts w:ascii="黑体" w:hAnsi="黑体" w:eastAsia="黑体"/>
          <w:sz w:val="30"/>
          <w:szCs w:val="30"/>
        </w:rPr>
        <w:t xml:space="preserve"> </w:t>
      </w:r>
      <w:r>
        <w:rPr>
          <w:rFonts w:hint="eastAsia" w:ascii="黑体" w:hAnsi="黑体" w:eastAsia="黑体"/>
          <w:sz w:val="30"/>
          <w:szCs w:val="30"/>
        </w:rPr>
        <w:t>总则</w:t>
      </w:r>
    </w:p>
    <w:p w14:paraId="3D05DCFD">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第一条</w:t>
      </w:r>
      <w:r>
        <w:rPr>
          <w:rFonts w:hint="eastAsia" w:ascii="仿宋_GB2312" w:hAnsi="黑体" w:eastAsia="仿宋_GB2312"/>
          <w:sz w:val="30"/>
          <w:szCs w:val="30"/>
        </w:rPr>
        <w:t xml:space="preserve">  为规范合作办学专用设施的使用和管理，提高业务管理水平，更好发挥设施的社会服务功能，根据中南财经政法大学与中国建设银行合作办学框架协议，结合建行学院工作实际，制定本办法。</w:t>
      </w:r>
    </w:p>
    <w:p w14:paraId="2B2EE580">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第二条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本办法所指合作办学专用设施（以下简称专用设施）主要包含首义校区3</w:t>
      </w:r>
      <w:r>
        <w:rPr>
          <w:rFonts w:ascii="仿宋_GB2312" w:hAnsi="黑体" w:eastAsia="仿宋_GB2312"/>
          <w:sz w:val="30"/>
          <w:szCs w:val="30"/>
        </w:rPr>
        <w:t>1</w:t>
      </w:r>
      <w:r>
        <w:rPr>
          <w:rFonts w:hint="eastAsia" w:ascii="仿宋_GB2312" w:hAnsi="黑体" w:eastAsia="仿宋_GB2312"/>
          <w:sz w:val="30"/>
          <w:szCs w:val="30"/>
        </w:rPr>
        <w:t>号楼、3</w:t>
      </w:r>
      <w:r>
        <w:rPr>
          <w:rFonts w:ascii="仿宋_GB2312" w:hAnsi="黑体" w:eastAsia="仿宋_GB2312"/>
          <w:sz w:val="30"/>
          <w:szCs w:val="30"/>
        </w:rPr>
        <w:t>5</w:t>
      </w:r>
      <w:r>
        <w:rPr>
          <w:rFonts w:hint="eastAsia" w:ascii="仿宋_GB2312" w:hAnsi="黑体" w:eastAsia="仿宋_GB2312"/>
          <w:sz w:val="30"/>
          <w:szCs w:val="30"/>
        </w:rPr>
        <w:t>号楼、建行学院餐厅场地及内部设施。</w:t>
      </w:r>
    </w:p>
    <w:p w14:paraId="0EE0BAFA">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第三条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专用设施主要用于中南财经政法大学与建设银行合作办学(以下简称银校合作办学）活动，在满足建设银行培训业务的前提下，可根据实际运营情况承接部分其他业务，主要包括：以学校名义举办的会议、公益活动，校友返校活动，校内单位举办的社会化会议、培训等。</w:t>
      </w:r>
    </w:p>
    <w:p w14:paraId="27F61CAC">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第二章  使用规定</w:t>
      </w:r>
    </w:p>
    <w:p w14:paraId="35DF9130">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b/>
          <w:sz w:val="30"/>
          <w:szCs w:val="30"/>
        </w:rPr>
        <w:t>第</w:t>
      </w:r>
      <w:r>
        <w:rPr>
          <w:rFonts w:hint="eastAsia" w:ascii="仿宋_GB2312" w:hAnsi="黑体" w:eastAsia="仿宋_GB2312"/>
          <w:b/>
          <w:sz w:val="30"/>
          <w:szCs w:val="30"/>
          <w:lang w:val="en-US" w:eastAsia="zh-CN"/>
        </w:rPr>
        <w:t>四</w:t>
      </w:r>
      <w:r>
        <w:rPr>
          <w:rFonts w:hint="eastAsia" w:ascii="仿宋_GB2312" w:hAnsi="黑体" w:eastAsia="仿宋_GB2312"/>
          <w:b/>
          <w:sz w:val="30"/>
          <w:szCs w:val="30"/>
        </w:rPr>
        <w:t>条</w:t>
      </w:r>
      <w:r>
        <w:rPr>
          <w:rFonts w:hint="eastAsia" w:ascii="仿宋_GB2312" w:hAnsi="黑体" w:eastAsia="仿宋_GB2312"/>
          <w:sz w:val="30"/>
          <w:szCs w:val="30"/>
        </w:rPr>
        <w:t xml:space="preserve">  除银校合作办学活动外，所有申请使用专用设施的活动及业务，必须办理借用手续。未经建行学院批准，任何单位和个人不得擅自使用专用设施。</w:t>
      </w:r>
    </w:p>
    <w:p w14:paraId="7AED68B9">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五</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申请使用专用设施，按照“谁借用谁负责”原则，于活动举办前一周办理借用手续，具体流程为：</w:t>
      </w:r>
    </w:p>
    <w:p w14:paraId="0C0EBD8C">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sz w:val="30"/>
          <w:szCs w:val="30"/>
        </w:rPr>
        <w:t>以学校名义举办会议、公益活动，校内其他单位举办社会化会议、培训等由申请使用单位填写《银校合作办学专用设施（场地）借用申请表》，经单位主要负责人签署意见、加盖单位公章后交至建行学院办公室审批。</w:t>
      </w:r>
    </w:p>
    <w:p w14:paraId="0381EBD2">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sz w:val="30"/>
          <w:szCs w:val="30"/>
        </w:rPr>
        <w:t>举办校友返校活动，由申请使用单位填写《银校合作办学专用设施（场地）借用申请表》，经单位主要负责人、校友工作与社会合作部共同签署意见、加盖公章后交至建行学院办公室审批。</w:t>
      </w:r>
    </w:p>
    <w:p w14:paraId="6149DF7F">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六</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建设银行开展的非银校合作办学活动由建行研修中心华中研修院负责审核，同时交由建行学院进行校内审批。</w:t>
      </w:r>
    </w:p>
    <w:p w14:paraId="16048A0D">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七</w:t>
      </w:r>
      <w:r>
        <w:rPr>
          <w:rFonts w:hint="eastAsia" w:ascii="仿宋_GB2312" w:hAnsi="黑体" w:eastAsia="仿宋_GB2312"/>
          <w:b/>
          <w:bCs/>
          <w:sz w:val="30"/>
          <w:szCs w:val="30"/>
        </w:rPr>
        <w:t>条</w:t>
      </w:r>
      <w:r>
        <w:rPr>
          <w:rFonts w:hint="eastAsia" w:ascii="仿宋_GB2312" w:hAnsi="黑体" w:eastAsia="仿宋_GB2312"/>
          <w:sz w:val="30"/>
          <w:szCs w:val="30"/>
        </w:rPr>
        <w:t xml:space="preserve">  建行学院不接受任何以个人名义提交的专用设施借用申请。  </w:t>
      </w:r>
    </w:p>
    <w:p w14:paraId="4BAE7962">
      <w:pPr>
        <w:keepNext w:val="0"/>
        <w:keepLines w:val="0"/>
        <w:pageBreakBefore w:val="0"/>
        <w:kinsoku/>
        <w:wordWrap/>
        <w:overflowPunct/>
        <w:topLinePunct w:val="0"/>
        <w:autoSpaceDE/>
        <w:autoSpaceDN/>
        <w:bidi w:val="0"/>
        <w:adjustRightInd w:val="0"/>
        <w:snapToGrid w:val="0"/>
        <w:spacing w:line="360" w:lineRule="auto"/>
        <w:ind w:leftChars="0" w:right="0" w:firstLine="660"/>
        <w:jc w:val="center"/>
        <w:textAlignment w:val="auto"/>
        <w:rPr>
          <w:rFonts w:ascii="黑体" w:hAnsi="黑体" w:eastAsia="黑体"/>
          <w:sz w:val="30"/>
          <w:szCs w:val="30"/>
        </w:rPr>
      </w:pPr>
      <w:r>
        <w:rPr>
          <w:rFonts w:hint="eastAsia" w:ascii="黑体" w:hAnsi="黑体" w:eastAsia="黑体"/>
          <w:sz w:val="30"/>
          <w:szCs w:val="30"/>
        </w:rPr>
        <w:t>第三章  收费说明</w:t>
      </w:r>
    </w:p>
    <w:p w14:paraId="7EE9E1D1">
      <w:pPr>
        <w:keepNext w:val="0"/>
        <w:keepLines w:val="0"/>
        <w:pageBreakBefore w:val="0"/>
        <w:kinsoku/>
        <w:wordWrap/>
        <w:overflowPunct/>
        <w:topLinePunct w:val="0"/>
        <w:autoSpaceDE/>
        <w:autoSpaceDN/>
        <w:bidi w:val="0"/>
        <w:adjustRightInd w:val="0"/>
        <w:snapToGrid w:val="0"/>
        <w:spacing w:line="360" w:lineRule="auto"/>
        <w:ind w:leftChars="0" w:right="0" w:firstLine="660"/>
        <w:jc w:val="both"/>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八</w:t>
      </w:r>
      <w:r>
        <w:rPr>
          <w:rFonts w:hint="eastAsia" w:ascii="仿宋_GB2312" w:hAnsi="黑体" w:eastAsia="仿宋_GB2312"/>
          <w:b/>
          <w:bCs/>
          <w:sz w:val="30"/>
          <w:szCs w:val="30"/>
        </w:rPr>
        <w:t>条</w:t>
      </w:r>
      <w:r>
        <w:rPr>
          <w:rFonts w:hint="eastAsia" w:ascii="仿宋_GB2312" w:hAnsi="黑体" w:eastAsia="仿宋_GB2312"/>
          <w:sz w:val="30"/>
          <w:szCs w:val="30"/>
        </w:rPr>
        <w:t xml:space="preserve">  专用设施借用期间产生的客房服务、餐饮服务和教室服务费据实收取。</w:t>
      </w:r>
    </w:p>
    <w:p w14:paraId="23CEB85D">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hint="eastAsia" w:ascii="仿宋_GB2312" w:hAnsi="黑体" w:eastAsia="仿宋_GB2312"/>
          <w:sz w:val="30"/>
          <w:szCs w:val="30"/>
          <w:highlight w:val="none"/>
        </w:rPr>
      </w:pPr>
      <w:r>
        <w:rPr>
          <w:rFonts w:hint="eastAsia" w:ascii="仿宋_GB2312" w:hAnsi="黑体" w:eastAsia="仿宋_GB2312"/>
          <w:b/>
          <w:sz w:val="30"/>
          <w:szCs w:val="30"/>
          <w:highlight w:val="none"/>
        </w:rPr>
        <w:t>第</w:t>
      </w:r>
      <w:r>
        <w:rPr>
          <w:rFonts w:hint="eastAsia" w:ascii="仿宋_GB2312" w:hAnsi="黑体" w:eastAsia="仿宋_GB2312"/>
          <w:b/>
          <w:sz w:val="30"/>
          <w:szCs w:val="30"/>
          <w:highlight w:val="none"/>
          <w:lang w:val="en-US" w:eastAsia="zh-CN"/>
        </w:rPr>
        <w:t>九</w:t>
      </w:r>
      <w:r>
        <w:rPr>
          <w:rFonts w:hint="eastAsia" w:ascii="仿宋_GB2312" w:hAnsi="黑体" w:eastAsia="仿宋_GB2312"/>
          <w:b/>
          <w:sz w:val="30"/>
          <w:szCs w:val="30"/>
          <w:highlight w:val="none"/>
        </w:rPr>
        <w:t xml:space="preserve">条  </w:t>
      </w:r>
      <w:r>
        <w:rPr>
          <w:rFonts w:hint="eastAsia" w:ascii="仿宋_GB2312" w:hAnsi="黑体" w:eastAsia="仿宋_GB2312"/>
          <w:sz w:val="30"/>
          <w:szCs w:val="30"/>
          <w:highlight w:val="none"/>
        </w:rPr>
        <w:t>收费标准：</w:t>
      </w:r>
    </w:p>
    <w:p w14:paraId="5877256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default"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（一）餐饮费</w:t>
      </w:r>
    </w:p>
    <w:p w14:paraId="5A1E181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根据用餐单位需求确定餐标。</w:t>
      </w:r>
    </w:p>
    <w:p w14:paraId="775696A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（二）住宿费（单间，不含早餐）</w:t>
      </w:r>
    </w:p>
    <w:p w14:paraId="45C5E84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1、校内单位（校内转账）</w:t>
      </w:r>
    </w:p>
    <w:p w14:paraId="61DA18D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 xml:space="preserve">淡季价格（11月21日--次年3月10日）：160元/间/天，半天80元/间。                            </w:t>
      </w:r>
    </w:p>
    <w:p w14:paraId="0F2BD39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旺季价格（3月11日--11月20日）：180元/间/天，半天90元/间。</w:t>
      </w:r>
    </w:p>
    <w:p w14:paraId="18D33FA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2、校外单位（开具发票）</w:t>
      </w:r>
    </w:p>
    <w:p w14:paraId="594BE13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 xml:space="preserve">淡季价格（11月21日--次年3月10日）：180元/间/天，半天90元/间。                            </w:t>
      </w:r>
    </w:p>
    <w:p w14:paraId="1EBC148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旺季价格（3月11日--11月20日）：200元/间/天，半天100元/间。</w:t>
      </w:r>
    </w:p>
    <w:p w14:paraId="108A93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（三）教室服务费</w:t>
      </w:r>
    </w:p>
    <w:p w14:paraId="2066C6F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1、校内单位</w:t>
      </w:r>
    </w:p>
    <w:p w14:paraId="025E5D5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20元/半天/人，30元/全天/人 （包含：场地、桌签摆放、LED电子屏、音响设备、话筒）</w:t>
      </w:r>
    </w:p>
    <w:p w14:paraId="0D94A1B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2、校外单位</w:t>
      </w:r>
    </w:p>
    <w:p w14:paraId="69CC543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30元/半天/人，40元/全天/人 （包含：场地、桌签摆放、LED电子屏、音响设备、话筒）</w:t>
      </w:r>
    </w:p>
    <w:p w14:paraId="7CD0EA0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会议附加收费服务：可包含纸笔、矿泉水、茶歇、横幅、指路水牌等，按照使用单位需求据实结算。</w:t>
      </w:r>
    </w:p>
    <w:p w14:paraId="29101FBC">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第四章  注意事项</w:t>
      </w:r>
    </w:p>
    <w:p w14:paraId="48261FD9">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ascii="黑体" w:hAnsi="黑体" w:eastAsia="黑体"/>
          <w:sz w:val="30"/>
          <w:szCs w:val="30"/>
        </w:rPr>
      </w:pPr>
      <w:r>
        <w:rPr>
          <w:rFonts w:hint="eastAsia" w:ascii="仿宋_GB2312" w:hAnsi="黑体" w:eastAsia="仿宋_GB2312"/>
          <w:b/>
          <w:bCs/>
          <w:sz w:val="30"/>
          <w:szCs w:val="30"/>
        </w:rPr>
        <w:t>第十条</w:t>
      </w:r>
      <w:r>
        <w:rPr>
          <w:rFonts w:hint="eastAsia" w:ascii="仿宋_GB2312" w:hAnsi="黑体" w:eastAsia="仿宋_GB2312"/>
          <w:sz w:val="30"/>
          <w:szCs w:val="30"/>
        </w:rPr>
        <w:t xml:space="preserve">  严禁将专用设施变相转借他人从事商业活动，严禁在专用设施场地内举办非法、不健康的活动。</w:t>
      </w:r>
    </w:p>
    <w:p w14:paraId="49F3AB15">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一</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凡进入办学专用设施场地的人员，必须遵守各项规章制度,自觉维护良好的学习、休息和就餐环境，不得影响银校合作办学活动的正常进行。</w:t>
      </w:r>
    </w:p>
    <w:p w14:paraId="52D52899">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eastAsia="仿宋_GB2312"/>
          <w:color w:val="333333"/>
          <w:sz w:val="29"/>
          <w:szCs w:val="29"/>
          <w:shd w:val="clear" w:color="auto" w:fill="FFFFFF"/>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二</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申请使用单位须遵守相关场地额定人数限制，不得超员，同时须明确指派安全责任人负责活动现场的安全与秩序。</w:t>
      </w:r>
    </w:p>
    <w:p w14:paraId="565217B3">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三</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专用设施场地内严禁吸烟、使用明火及燃放烟花爆竹；严禁携带危险品、食物、有色饮料入内；未经建行学院允许，不得私自乱接电源、乱拉电线、张贴横幅标语；禁止连接自带音响、多媒体等外接设备；不得擅自挪动场地内桌椅、多媒体、电器等设施设备，以及消防、防盗、应急设备等安全设施。</w:t>
      </w:r>
    </w:p>
    <w:p w14:paraId="3B4BA1C0">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四</w:t>
      </w:r>
      <w:r>
        <w:rPr>
          <w:rFonts w:hint="eastAsia" w:ascii="仿宋_GB2312" w:hAnsi="黑体" w:eastAsia="仿宋_GB2312"/>
          <w:b/>
          <w:bCs/>
          <w:sz w:val="30"/>
          <w:szCs w:val="30"/>
        </w:rPr>
        <w:t>条</w:t>
      </w:r>
      <w:r>
        <w:rPr>
          <w:rFonts w:hint="eastAsia" w:ascii="仿宋_GB2312" w:hAnsi="黑体" w:eastAsia="仿宋_GB2312"/>
          <w:sz w:val="30"/>
          <w:szCs w:val="30"/>
        </w:rPr>
        <w:t xml:space="preserve">  申请使用单位须维护好设施环境卫生、爱惜设施物品和设备。活动结束后，申请使用单位负责场地的清理和复原，检查场地内的物品、设备是否完好，如有损坏，需照价赔偿。</w:t>
      </w:r>
    </w:p>
    <w:p w14:paraId="2F56EA53">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五</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如遇突发事件，申请使用单位应第一时间与建行学院联系并协同解决。</w:t>
      </w:r>
    </w:p>
    <w:p w14:paraId="74DC3924">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sz w:val="30"/>
          <w:szCs w:val="30"/>
        </w:rPr>
        <w:t>第十</w:t>
      </w:r>
      <w:r>
        <w:rPr>
          <w:rFonts w:hint="eastAsia" w:ascii="仿宋_GB2312" w:hAnsi="黑体" w:eastAsia="仿宋_GB2312"/>
          <w:b/>
          <w:sz w:val="30"/>
          <w:szCs w:val="30"/>
          <w:lang w:val="en-US" w:eastAsia="zh-CN"/>
        </w:rPr>
        <w:t>六</w:t>
      </w:r>
      <w:r>
        <w:rPr>
          <w:rFonts w:hint="eastAsia" w:ascii="仿宋_GB2312" w:hAnsi="黑体" w:eastAsia="仿宋_GB2312"/>
          <w:b/>
          <w:sz w:val="30"/>
          <w:szCs w:val="30"/>
        </w:rPr>
        <w:t>条</w:t>
      </w:r>
      <w:r>
        <w:rPr>
          <w:rFonts w:hint="eastAsia" w:ascii="仿宋_GB2312" w:hAnsi="黑体" w:eastAsia="仿宋_GB2312"/>
          <w:sz w:val="30"/>
          <w:szCs w:val="30"/>
        </w:rPr>
        <w:t xml:space="preserve">  申请使用</w:t>
      </w:r>
      <w:r>
        <w:rPr>
          <w:rFonts w:hint="eastAsia" w:ascii="仿宋_GB2312" w:hAnsi="黑体" w:eastAsia="仿宋_GB2312"/>
          <w:sz w:val="30"/>
          <w:szCs w:val="30"/>
          <w:lang w:val="en-US" w:eastAsia="zh-CN"/>
        </w:rPr>
        <w:t>单位</w:t>
      </w:r>
      <w:r>
        <w:rPr>
          <w:rFonts w:hint="eastAsia" w:ascii="仿宋_GB2312" w:hAnsi="黑体" w:eastAsia="仿宋_GB2312"/>
          <w:sz w:val="30"/>
          <w:szCs w:val="30"/>
        </w:rPr>
        <w:t>在使用专用设施活动中如有违法违规行为，建行学院将严格按照国家法律法规和学校规章制度，上报相关部门处理。</w:t>
      </w:r>
    </w:p>
    <w:p w14:paraId="661736BB">
      <w:pPr>
        <w:keepNext w:val="0"/>
        <w:keepLines w:val="0"/>
        <w:pageBreakBefore w:val="0"/>
        <w:kinsoku/>
        <w:wordWrap/>
        <w:overflowPunct/>
        <w:topLinePunct w:val="0"/>
        <w:autoSpaceDE/>
        <w:autoSpaceDN/>
        <w:bidi w:val="0"/>
        <w:adjustRightInd w:val="0"/>
        <w:snapToGrid w:val="0"/>
        <w:spacing w:line="360" w:lineRule="auto"/>
        <w:ind w:leftChars="0" w:right="0" w:firstLine="660"/>
        <w:jc w:val="center"/>
        <w:textAlignment w:val="auto"/>
        <w:rPr>
          <w:rFonts w:hint="eastAsia" w:ascii="黑体" w:hAnsi="黑体" w:eastAsia="黑体"/>
          <w:sz w:val="30"/>
          <w:szCs w:val="30"/>
        </w:rPr>
      </w:pPr>
      <w:r>
        <w:rPr>
          <w:rFonts w:hint="eastAsia" w:ascii="黑体" w:hAnsi="黑体" w:eastAsia="黑体"/>
          <w:sz w:val="30"/>
          <w:szCs w:val="30"/>
        </w:rPr>
        <w:t xml:space="preserve">第五章 </w:t>
      </w:r>
      <w:r>
        <w:rPr>
          <w:rFonts w:ascii="黑体" w:hAnsi="黑体" w:eastAsia="黑体"/>
          <w:sz w:val="30"/>
          <w:szCs w:val="30"/>
        </w:rPr>
        <w:t xml:space="preserve"> </w:t>
      </w:r>
      <w:r>
        <w:rPr>
          <w:rFonts w:hint="eastAsia" w:ascii="黑体" w:hAnsi="黑体" w:eastAsia="黑体"/>
          <w:sz w:val="30"/>
          <w:szCs w:val="30"/>
        </w:rPr>
        <w:t>附则</w:t>
      </w:r>
    </w:p>
    <w:p w14:paraId="00A7D2D9">
      <w:pPr>
        <w:keepNext w:val="0"/>
        <w:keepLines w:val="0"/>
        <w:pageBreakBefore w:val="0"/>
        <w:kinsoku/>
        <w:wordWrap/>
        <w:overflowPunct/>
        <w:topLinePunct w:val="0"/>
        <w:autoSpaceDE/>
        <w:autoSpaceDN/>
        <w:bidi w:val="0"/>
        <w:adjustRightInd w:val="0"/>
        <w:snapToGrid w:val="0"/>
        <w:spacing w:line="360" w:lineRule="auto"/>
        <w:ind w:leftChars="0" w:right="0" w:firstLine="602" w:firstLineChars="20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七</w:t>
      </w:r>
      <w:r>
        <w:rPr>
          <w:rFonts w:hint="eastAsia" w:ascii="仿宋_GB2312" w:hAnsi="黑体" w:eastAsia="仿宋_GB2312"/>
          <w:b/>
          <w:bCs/>
          <w:sz w:val="30"/>
          <w:szCs w:val="30"/>
        </w:rPr>
        <w:t>条</w:t>
      </w:r>
      <w:r>
        <w:rPr>
          <w:rFonts w:hint="eastAsia" w:ascii="仿宋_GB2312" w:hAnsi="黑体" w:eastAsia="仿宋_GB2312"/>
          <w:sz w:val="30"/>
          <w:szCs w:val="30"/>
        </w:rPr>
        <w:t xml:space="preserve">  本办法自公布之日起实施。</w:t>
      </w:r>
    </w:p>
    <w:p w14:paraId="16192F79">
      <w:pPr>
        <w:keepNext w:val="0"/>
        <w:keepLines w:val="0"/>
        <w:pageBreakBefore w:val="0"/>
        <w:kinsoku/>
        <w:wordWrap/>
        <w:overflowPunct/>
        <w:topLinePunct w:val="0"/>
        <w:autoSpaceDE/>
        <w:autoSpaceDN/>
        <w:bidi w:val="0"/>
        <w:adjustRightInd w:val="0"/>
        <w:snapToGrid w:val="0"/>
        <w:spacing w:line="360" w:lineRule="auto"/>
        <w:ind w:leftChars="0" w:right="0" w:firstLine="602" w:firstLineChars="200"/>
        <w:textAlignment w:val="auto"/>
        <w:rPr>
          <w:rFonts w:ascii="仿宋_GB2312" w:hAnsi="黑体" w:eastAsia="仿宋_GB2312"/>
          <w:sz w:val="30"/>
          <w:szCs w:val="30"/>
        </w:rPr>
      </w:pPr>
      <w:r>
        <w:rPr>
          <w:rFonts w:hint="eastAsia" w:ascii="仿宋_GB2312" w:hAnsi="黑体" w:eastAsia="仿宋_GB2312"/>
          <w:b/>
          <w:sz w:val="30"/>
          <w:szCs w:val="30"/>
        </w:rPr>
        <w:t>第十</w:t>
      </w:r>
      <w:r>
        <w:rPr>
          <w:rFonts w:hint="eastAsia" w:ascii="仿宋_GB2312" w:hAnsi="黑体" w:eastAsia="仿宋_GB2312"/>
          <w:b/>
          <w:sz w:val="30"/>
          <w:szCs w:val="30"/>
          <w:lang w:val="en-US" w:eastAsia="zh-CN"/>
        </w:rPr>
        <w:t>八</w:t>
      </w:r>
      <w:r>
        <w:rPr>
          <w:rFonts w:hint="eastAsia" w:ascii="仿宋_GB2312" w:hAnsi="黑体" w:eastAsia="仿宋_GB2312"/>
          <w:b/>
          <w:sz w:val="30"/>
          <w:szCs w:val="30"/>
        </w:rPr>
        <w:t>条</w:t>
      </w:r>
      <w:r>
        <w:rPr>
          <w:rFonts w:hint="eastAsia" w:ascii="仿宋_GB2312" w:hAnsi="黑体" w:eastAsia="仿宋_GB2312"/>
          <w:sz w:val="30"/>
          <w:szCs w:val="30"/>
        </w:rPr>
        <w:t xml:space="preserve">  本办法由中南财经政法大学建行学院负责解释。</w:t>
      </w:r>
    </w:p>
    <w:p w14:paraId="48FBD2C2">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ascii="仿宋_GB2312" w:hAnsi="黑体" w:eastAsia="仿宋_GB2312"/>
          <w:sz w:val="30"/>
          <w:szCs w:val="30"/>
        </w:rPr>
      </w:pPr>
    </w:p>
    <w:p w14:paraId="79D45348">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ascii="仿宋_GB2312" w:hAnsi="黑体" w:eastAsia="仿宋_GB2312"/>
          <w:sz w:val="30"/>
          <w:szCs w:val="30"/>
        </w:rPr>
      </w:pPr>
      <w:r>
        <w:rPr>
          <w:rFonts w:hint="eastAsia" w:ascii="仿宋_GB2312" w:hAnsi="黑体" w:eastAsia="仿宋_GB2312"/>
          <w:sz w:val="30"/>
          <w:szCs w:val="30"/>
        </w:rPr>
        <w:t>中南财经政法大学建行学院</w:t>
      </w:r>
    </w:p>
    <w:p w14:paraId="2575D4BD">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hint="eastAsia" w:ascii="仿宋_GB2312" w:hAnsi="黑体" w:eastAsia="仿宋_GB2312"/>
          <w:sz w:val="30"/>
          <w:szCs w:val="30"/>
        </w:rPr>
      </w:pPr>
      <w:r>
        <w:rPr>
          <w:rFonts w:hint="eastAsia" w:ascii="仿宋_GB2312" w:hAnsi="黑体" w:eastAsia="仿宋_GB2312"/>
          <w:sz w:val="30"/>
          <w:szCs w:val="30"/>
        </w:rPr>
        <w:t>202</w:t>
      </w:r>
      <w:r>
        <w:rPr>
          <w:rFonts w:hint="eastAsia" w:ascii="仿宋_GB2312" w:hAnsi="黑体" w:eastAsia="仿宋_GB2312"/>
          <w:sz w:val="30"/>
          <w:szCs w:val="30"/>
          <w:lang w:val="en-US" w:eastAsia="zh-CN"/>
        </w:rPr>
        <w:t>5</w:t>
      </w:r>
      <w:r>
        <w:rPr>
          <w:rFonts w:hint="eastAsia" w:ascii="仿宋_GB2312" w:hAnsi="黑体" w:eastAsia="仿宋_GB2312"/>
          <w:sz w:val="30"/>
          <w:szCs w:val="30"/>
        </w:rPr>
        <w:t>年</w:t>
      </w:r>
      <w:r>
        <w:rPr>
          <w:rFonts w:hint="eastAsia" w:ascii="仿宋_GB2312" w:hAnsi="黑体" w:eastAsia="仿宋_GB2312"/>
          <w:sz w:val="30"/>
          <w:szCs w:val="30"/>
          <w:lang w:val="en-US" w:eastAsia="zh-CN"/>
        </w:rPr>
        <w:t>3</w:t>
      </w:r>
      <w:r>
        <w:rPr>
          <w:rFonts w:hint="eastAsia" w:ascii="仿宋_GB2312" w:hAnsi="黑体" w:eastAsia="仿宋_GB2312"/>
          <w:sz w:val="30"/>
          <w:szCs w:val="30"/>
        </w:rPr>
        <w:t>月</w:t>
      </w:r>
      <w:r>
        <w:rPr>
          <w:rFonts w:hint="eastAsia" w:ascii="仿宋_GB2312" w:hAnsi="黑体" w:eastAsia="仿宋_GB2312"/>
          <w:sz w:val="30"/>
          <w:szCs w:val="30"/>
          <w:lang w:val="en-US" w:eastAsia="zh-CN"/>
        </w:rPr>
        <w:t>10</w:t>
      </w:r>
      <w:r>
        <w:rPr>
          <w:rFonts w:hint="eastAsia" w:ascii="仿宋_GB2312" w:hAnsi="黑体" w:eastAsia="仿宋_GB2312"/>
          <w:sz w:val="30"/>
          <w:szCs w:val="30"/>
        </w:rPr>
        <w:t>日</w:t>
      </w:r>
    </w:p>
    <w:p w14:paraId="3190F41E">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77A0AD85">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1CF64DDC">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6671F2BF">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7C3E8D07">
      <w:pPr>
        <w:keepNext w:val="0"/>
        <w:keepLines w:val="0"/>
        <w:pageBreakBefore w:val="0"/>
        <w:kinsoku/>
        <w:wordWrap/>
        <w:overflowPunct/>
        <w:topLinePunct w:val="0"/>
        <w:autoSpaceDE/>
        <w:autoSpaceDN/>
        <w:bidi w:val="0"/>
        <w:adjustRightInd w:val="0"/>
        <w:snapToGrid w:val="0"/>
        <w:spacing w:line="360" w:lineRule="auto"/>
        <w:ind w:right="0" w:firstLine="602" w:firstLineChars="200"/>
        <w:jc w:val="both"/>
        <w:textAlignment w:val="auto"/>
        <w:rPr>
          <w:rFonts w:hint="eastAsia" w:ascii="仿宋_GB2312" w:hAnsi="黑体" w:eastAsia="仿宋_GB2312"/>
          <w:b/>
          <w:sz w:val="30"/>
          <w:szCs w:val="30"/>
          <w:lang w:val="en-US" w:eastAsia="zh-CN"/>
        </w:rPr>
      </w:pPr>
      <w:r>
        <w:rPr>
          <w:rFonts w:hint="eastAsia" w:ascii="仿宋_GB2312" w:hAnsi="黑体" w:eastAsia="仿宋_GB2312"/>
          <w:b/>
          <w:sz w:val="30"/>
          <w:szCs w:val="30"/>
          <w:u w:val="single"/>
          <w:lang w:val="en-US" w:eastAsia="zh-CN"/>
        </w:rPr>
        <w:t>本单位已仔细阅读以上管理办法，承诺在借用建行学院专用办学设施（场地）期间将严格遵守相关规定。</w:t>
      </w:r>
    </w:p>
    <w:p w14:paraId="5C94F511">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hint="eastAsia" w:ascii="仿宋_GB2312" w:hAnsi="黑体" w:eastAsia="仿宋_GB2312"/>
          <w:b/>
          <w:sz w:val="30"/>
          <w:szCs w:val="30"/>
          <w:lang w:val="en-US" w:eastAsia="zh-CN"/>
        </w:rPr>
      </w:pPr>
      <w:r>
        <w:rPr>
          <w:rFonts w:hint="eastAsia" w:ascii="仿宋_GB2312" w:hAnsi="黑体" w:eastAsia="仿宋_GB2312"/>
          <w:b/>
          <w:sz w:val="30"/>
          <w:szCs w:val="30"/>
          <w:lang w:val="en-US" w:eastAsia="zh-CN"/>
        </w:rPr>
        <w:t xml:space="preserve">                        </w:t>
      </w:r>
    </w:p>
    <w:p w14:paraId="02BE3E66">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hint="eastAsia" w:ascii="仿宋" w:hAnsi="仿宋" w:eastAsia="仿宋" w:cs="仿宋"/>
          <w:color w:val="000000"/>
          <w:sz w:val="32"/>
          <w:szCs w:val="32"/>
          <w:lang w:val="en-US" w:eastAsia="zh-CN" w:bidi="en-US"/>
        </w:rPr>
        <w:sectPr>
          <w:pgSz w:w="11906" w:h="16838"/>
          <w:pgMar w:top="1440" w:right="1800" w:bottom="1440" w:left="1800" w:header="851" w:footer="992" w:gutter="0"/>
          <w:cols w:space="720" w:num="1"/>
          <w:docGrid w:type="lines" w:linePitch="312" w:charSpace="0"/>
        </w:sectPr>
      </w:pPr>
      <w:r>
        <w:rPr>
          <w:rFonts w:hint="eastAsia" w:ascii="仿宋_GB2312" w:hAnsi="黑体" w:eastAsia="仿宋_GB2312"/>
          <w:b/>
          <w:sz w:val="30"/>
          <w:szCs w:val="30"/>
          <w:lang w:val="en-US" w:eastAsia="zh-CN"/>
        </w:rPr>
        <w:t xml:space="preserve">                        经办人（签字）：</w:t>
      </w:r>
    </w:p>
    <w:p w14:paraId="42155967">
      <w:pPr>
        <w:pStyle w:val="3"/>
        <w:spacing w:line="480" w:lineRule="auto"/>
        <w:ind w:leftChars="0" w:firstLine="0" w:firstLineChars="0"/>
        <w:jc w:val="center"/>
        <w:rPr>
          <w:rFonts w:hint="eastAsia" w:eastAsia="仿宋_GB2312"/>
          <w:sz w:val="44"/>
        </w:rPr>
      </w:pPr>
      <w:r>
        <w:rPr>
          <w:rFonts w:hint="eastAsia" w:eastAsia="楷体_GB2312"/>
          <w:b/>
          <w:bCs/>
          <w:sz w:val="44"/>
        </w:rPr>
        <w:t>建行学院办学专用设施（场地）借用申请表</w:t>
      </w:r>
    </w:p>
    <w:tbl>
      <w:tblPr>
        <w:tblStyle w:val="8"/>
        <w:tblW w:w="103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5"/>
        <w:gridCol w:w="1837"/>
        <w:gridCol w:w="1603"/>
        <w:gridCol w:w="1787"/>
        <w:gridCol w:w="1644"/>
        <w:gridCol w:w="1982"/>
      </w:tblGrid>
      <w:tr w14:paraId="095FFE16">
        <w:trPr>
          <w:trHeight w:val="549" w:hRule="atLeast"/>
        </w:trPr>
        <w:tc>
          <w:tcPr>
            <w:tcW w:w="1515" w:type="dxa"/>
            <w:noWrap w:val="0"/>
            <w:vAlign w:val="center"/>
          </w:tcPr>
          <w:p w14:paraId="0BEEC90E">
            <w:pPr>
              <w:jc w:val="center"/>
              <w:rPr>
                <w:rFonts w:hint="eastAsia" w:ascii="仿宋" w:hAnsi="仿宋" w:eastAsia="仿宋" w:cs="仿宋"/>
                <w:sz w:val="28"/>
                <w:szCs w:val="28"/>
              </w:rPr>
            </w:pPr>
            <w:r>
              <w:rPr>
                <w:rFonts w:hint="eastAsia" w:ascii="仿宋" w:hAnsi="仿宋" w:eastAsia="仿宋" w:cs="仿宋"/>
                <w:sz w:val="28"/>
                <w:szCs w:val="28"/>
              </w:rPr>
              <w:t>申请单位</w:t>
            </w:r>
          </w:p>
        </w:tc>
        <w:tc>
          <w:tcPr>
            <w:tcW w:w="1837" w:type="dxa"/>
            <w:noWrap w:val="0"/>
            <w:vAlign w:val="center"/>
          </w:tcPr>
          <w:p w14:paraId="31BDC2D9">
            <w:pPr>
              <w:jc w:val="center"/>
              <w:rPr>
                <w:rFonts w:hint="eastAsia" w:ascii="仿宋" w:hAnsi="仿宋" w:eastAsia="仿宋" w:cs="仿宋"/>
                <w:sz w:val="28"/>
                <w:szCs w:val="28"/>
              </w:rPr>
            </w:pPr>
          </w:p>
        </w:tc>
        <w:tc>
          <w:tcPr>
            <w:tcW w:w="1603" w:type="dxa"/>
            <w:noWrap w:val="0"/>
            <w:vAlign w:val="center"/>
          </w:tcPr>
          <w:p w14:paraId="67A92A9A">
            <w:pPr>
              <w:jc w:val="center"/>
              <w:rPr>
                <w:rFonts w:hint="eastAsia" w:ascii="仿宋" w:hAnsi="仿宋" w:eastAsia="仿宋" w:cs="仿宋"/>
                <w:sz w:val="28"/>
                <w:szCs w:val="28"/>
              </w:rPr>
            </w:pPr>
            <w:r>
              <w:rPr>
                <w:rFonts w:hint="eastAsia" w:ascii="仿宋" w:hAnsi="仿宋" w:eastAsia="仿宋" w:cs="仿宋"/>
                <w:sz w:val="28"/>
                <w:szCs w:val="28"/>
                <w:lang w:val="en-US" w:eastAsia="zh-CN"/>
              </w:rPr>
              <w:t>经办</w:t>
            </w:r>
            <w:r>
              <w:rPr>
                <w:rFonts w:hint="eastAsia" w:ascii="仿宋" w:hAnsi="仿宋" w:eastAsia="仿宋" w:cs="仿宋"/>
                <w:sz w:val="28"/>
                <w:szCs w:val="28"/>
              </w:rPr>
              <w:t>人</w:t>
            </w:r>
          </w:p>
        </w:tc>
        <w:tc>
          <w:tcPr>
            <w:tcW w:w="1787" w:type="dxa"/>
            <w:noWrap w:val="0"/>
            <w:vAlign w:val="center"/>
          </w:tcPr>
          <w:p w14:paraId="70796DCA">
            <w:pPr>
              <w:jc w:val="center"/>
              <w:rPr>
                <w:rFonts w:hint="eastAsia" w:ascii="仿宋" w:hAnsi="仿宋" w:eastAsia="仿宋" w:cs="仿宋"/>
                <w:sz w:val="28"/>
                <w:szCs w:val="28"/>
              </w:rPr>
            </w:pPr>
          </w:p>
        </w:tc>
        <w:tc>
          <w:tcPr>
            <w:tcW w:w="1644" w:type="dxa"/>
            <w:noWrap w:val="0"/>
            <w:vAlign w:val="center"/>
          </w:tcPr>
          <w:p w14:paraId="3FB834CD">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982" w:type="dxa"/>
            <w:noWrap w:val="0"/>
            <w:vAlign w:val="center"/>
          </w:tcPr>
          <w:p w14:paraId="63E2FD4A">
            <w:pPr>
              <w:jc w:val="center"/>
              <w:rPr>
                <w:rFonts w:hint="eastAsia" w:ascii="仿宋" w:hAnsi="仿宋" w:eastAsia="仿宋" w:cs="仿宋"/>
                <w:sz w:val="28"/>
                <w:szCs w:val="28"/>
              </w:rPr>
            </w:pPr>
          </w:p>
        </w:tc>
      </w:tr>
      <w:tr w14:paraId="00CFD175">
        <w:trPr>
          <w:trHeight w:val="504" w:hRule="atLeast"/>
        </w:trPr>
        <w:tc>
          <w:tcPr>
            <w:tcW w:w="1515" w:type="dxa"/>
            <w:noWrap w:val="0"/>
            <w:vAlign w:val="center"/>
          </w:tcPr>
          <w:p w14:paraId="183F9183">
            <w:pPr>
              <w:jc w:val="center"/>
              <w:rPr>
                <w:rFonts w:hint="eastAsia" w:ascii="仿宋" w:hAnsi="仿宋" w:eastAsia="仿宋" w:cs="仿宋"/>
                <w:sz w:val="28"/>
                <w:szCs w:val="28"/>
              </w:rPr>
            </w:pPr>
            <w:r>
              <w:rPr>
                <w:rFonts w:hint="eastAsia" w:ascii="仿宋" w:hAnsi="仿宋" w:eastAsia="仿宋" w:cs="仿宋"/>
                <w:sz w:val="28"/>
                <w:szCs w:val="28"/>
              </w:rPr>
              <w:t>借用事由</w:t>
            </w:r>
          </w:p>
        </w:tc>
        <w:tc>
          <w:tcPr>
            <w:tcW w:w="8853" w:type="dxa"/>
            <w:gridSpan w:val="5"/>
            <w:noWrap w:val="0"/>
            <w:vAlign w:val="center"/>
          </w:tcPr>
          <w:p w14:paraId="5B768B0B">
            <w:pPr>
              <w:jc w:val="center"/>
              <w:rPr>
                <w:rFonts w:hint="eastAsia" w:ascii="仿宋" w:hAnsi="仿宋" w:eastAsia="仿宋" w:cs="仿宋"/>
                <w:sz w:val="28"/>
                <w:szCs w:val="28"/>
              </w:rPr>
            </w:pPr>
          </w:p>
        </w:tc>
      </w:tr>
      <w:tr w14:paraId="3A104FEB">
        <w:trPr>
          <w:trHeight w:val="549" w:hRule="atLeast"/>
        </w:trPr>
        <w:tc>
          <w:tcPr>
            <w:tcW w:w="1515" w:type="dxa"/>
            <w:noWrap w:val="0"/>
            <w:vAlign w:val="center"/>
          </w:tcPr>
          <w:p w14:paraId="0E14DEFD">
            <w:pPr>
              <w:jc w:val="center"/>
              <w:rPr>
                <w:rFonts w:hint="eastAsia" w:ascii="仿宋" w:hAnsi="仿宋" w:eastAsia="仿宋" w:cs="仿宋"/>
                <w:sz w:val="28"/>
                <w:szCs w:val="28"/>
              </w:rPr>
            </w:pPr>
            <w:r>
              <w:rPr>
                <w:rFonts w:hint="eastAsia" w:ascii="仿宋" w:hAnsi="仿宋" w:eastAsia="仿宋" w:cs="仿宋"/>
                <w:sz w:val="28"/>
                <w:szCs w:val="28"/>
              </w:rPr>
              <w:t>使用时间</w:t>
            </w:r>
          </w:p>
        </w:tc>
        <w:tc>
          <w:tcPr>
            <w:tcW w:w="8853" w:type="dxa"/>
            <w:gridSpan w:val="5"/>
            <w:noWrap w:val="0"/>
            <w:vAlign w:val="center"/>
          </w:tcPr>
          <w:p w14:paraId="7BCE0839">
            <w:pPr>
              <w:jc w:val="center"/>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时至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时</w:t>
            </w:r>
          </w:p>
        </w:tc>
      </w:tr>
      <w:tr w14:paraId="2606481A">
        <w:trPr>
          <w:trHeight w:val="522" w:hRule="atLeast"/>
        </w:trPr>
        <w:tc>
          <w:tcPr>
            <w:tcW w:w="1515" w:type="dxa"/>
            <w:noWrap w:val="0"/>
            <w:vAlign w:val="center"/>
          </w:tcPr>
          <w:p w14:paraId="00FD474F">
            <w:pPr>
              <w:jc w:val="center"/>
              <w:rPr>
                <w:rFonts w:hint="eastAsia" w:ascii="仿宋" w:hAnsi="仿宋" w:eastAsia="仿宋" w:cs="仿宋"/>
                <w:sz w:val="28"/>
                <w:szCs w:val="28"/>
              </w:rPr>
            </w:pPr>
            <w:r>
              <w:rPr>
                <w:rFonts w:hint="eastAsia" w:ascii="仿宋" w:hAnsi="仿宋" w:eastAsia="仿宋" w:cs="仿宋"/>
                <w:sz w:val="28"/>
                <w:szCs w:val="28"/>
              </w:rPr>
              <w:t>活动人数</w:t>
            </w:r>
          </w:p>
        </w:tc>
        <w:tc>
          <w:tcPr>
            <w:tcW w:w="3440" w:type="dxa"/>
            <w:gridSpan w:val="2"/>
            <w:noWrap w:val="0"/>
            <w:vAlign w:val="center"/>
          </w:tcPr>
          <w:p w14:paraId="13AB64AD">
            <w:pPr>
              <w:jc w:val="center"/>
              <w:rPr>
                <w:rFonts w:hint="eastAsia" w:ascii="仿宋" w:hAnsi="仿宋" w:eastAsia="仿宋" w:cs="仿宋"/>
                <w:sz w:val="28"/>
                <w:szCs w:val="28"/>
              </w:rPr>
            </w:pPr>
          </w:p>
        </w:tc>
        <w:tc>
          <w:tcPr>
            <w:tcW w:w="1787" w:type="dxa"/>
            <w:noWrap w:val="0"/>
            <w:vAlign w:val="center"/>
          </w:tcPr>
          <w:p w14:paraId="453A09FE">
            <w:pPr>
              <w:jc w:val="center"/>
              <w:rPr>
                <w:rFonts w:hint="eastAsia" w:ascii="仿宋" w:hAnsi="仿宋" w:eastAsia="仿宋" w:cs="仿宋"/>
                <w:sz w:val="28"/>
                <w:szCs w:val="28"/>
              </w:rPr>
            </w:pPr>
            <w:r>
              <w:rPr>
                <w:rFonts w:hint="eastAsia" w:ascii="仿宋" w:hAnsi="仿宋" w:eastAsia="仿宋" w:cs="仿宋"/>
                <w:sz w:val="28"/>
                <w:szCs w:val="28"/>
              </w:rPr>
              <w:t>活动对象</w:t>
            </w:r>
          </w:p>
        </w:tc>
        <w:tc>
          <w:tcPr>
            <w:tcW w:w="3626" w:type="dxa"/>
            <w:gridSpan w:val="2"/>
            <w:noWrap w:val="0"/>
            <w:vAlign w:val="center"/>
          </w:tcPr>
          <w:p w14:paraId="739209D5">
            <w:pPr>
              <w:rPr>
                <w:rFonts w:hint="eastAsia" w:ascii="仿宋" w:hAnsi="仿宋" w:eastAsia="仿宋" w:cs="仿宋"/>
                <w:sz w:val="28"/>
                <w:szCs w:val="28"/>
              </w:rPr>
            </w:pPr>
            <w:r>
              <w:rPr>
                <w:rFonts w:hint="eastAsia" w:ascii="仿宋" w:hAnsi="仿宋" w:eastAsia="仿宋" w:cs="仿宋"/>
                <w:sz w:val="28"/>
                <w:szCs w:val="28"/>
              </w:rPr>
              <w:t xml:space="preserve"> </w:t>
            </w:r>
          </w:p>
        </w:tc>
      </w:tr>
      <w:tr w14:paraId="1EA95FEA">
        <w:trPr>
          <w:trHeight w:val="507" w:hRule="atLeast"/>
        </w:trPr>
        <w:tc>
          <w:tcPr>
            <w:tcW w:w="1515" w:type="dxa"/>
            <w:noWrap w:val="0"/>
            <w:vAlign w:val="center"/>
          </w:tcPr>
          <w:p w14:paraId="5F63C46F">
            <w:pPr>
              <w:jc w:val="center"/>
              <w:rPr>
                <w:rFonts w:hint="eastAsia" w:ascii="仿宋" w:hAnsi="仿宋" w:eastAsia="仿宋" w:cs="仿宋"/>
                <w:sz w:val="28"/>
                <w:szCs w:val="28"/>
              </w:rPr>
            </w:pPr>
            <w:r>
              <w:rPr>
                <w:rFonts w:hint="eastAsia" w:ascii="仿宋" w:hAnsi="仿宋" w:eastAsia="仿宋" w:cs="仿宋"/>
                <w:sz w:val="28"/>
                <w:szCs w:val="28"/>
              </w:rPr>
              <w:t>活动性质</w:t>
            </w:r>
          </w:p>
        </w:tc>
        <w:tc>
          <w:tcPr>
            <w:tcW w:w="8853" w:type="dxa"/>
            <w:gridSpan w:val="5"/>
            <w:noWrap w:val="0"/>
            <w:vAlign w:val="center"/>
          </w:tcPr>
          <w:p w14:paraId="22205627">
            <w:pPr>
              <w:rPr>
                <w:rFonts w:hint="eastAsia" w:ascii="仿宋" w:hAnsi="仿宋" w:eastAsia="仿宋" w:cs="仿宋"/>
                <w:sz w:val="28"/>
                <w:szCs w:val="28"/>
              </w:rPr>
            </w:pPr>
            <w:r>
              <w:rPr>
                <w:rFonts w:hint="eastAsia" w:ascii="仿宋" w:hAnsi="仿宋" w:eastAsia="仿宋" w:cs="仿宋"/>
                <w:sz w:val="28"/>
                <w:szCs w:val="28"/>
              </w:rPr>
              <w:t xml:space="preserve">□学校公益性活动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校友</w:t>
            </w:r>
            <w:r>
              <w:rPr>
                <w:rFonts w:hint="eastAsia" w:ascii="仿宋" w:hAnsi="仿宋" w:eastAsia="仿宋" w:cs="仿宋"/>
                <w:sz w:val="28"/>
                <w:szCs w:val="28"/>
              </w:rPr>
              <w:t xml:space="preserve">活动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□有偿性社会服务业务</w:t>
            </w:r>
          </w:p>
        </w:tc>
      </w:tr>
      <w:tr w14:paraId="5FFE0112">
        <w:trPr>
          <w:trHeight w:val="4144" w:hRule="atLeast"/>
        </w:trPr>
        <w:tc>
          <w:tcPr>
            <w:tcW w:w="1515" w:type="dxa"/>
            <w:noWrap w:val="0"/>
            <w:vAlign w:val="center"/>
          </w:tcPr>
          <w:p w14:paraId="556E34E4">
            <w:pPr>
              <w:jc w:val="center"/>
              <w:rPr>
                <w:rFonts w:hint="eastAsia" w:ascii="仿宋" w:hAnsi="仿宋" w:eastAsia="仿宋" w:cs="仿宋"/>
                <w:sz w:val="28"/>
                <w:szCs w:val="28"/>
              </w:rPr>
            </w:pPr>
            <w:r>
              <w:rPr>
                <w:rFonts w:hint="eastAsia" w:ascii="仿宋" w:hAnsi="仿宋" w:eastAsia="仿宋" w:cs="仿宋"/>
                <w:sz w:val="28"/>
                <w:szCs w:val="28"/>
              </w:rPr>
              <w:t>借用项目</w:t>
            </w:r>
          </w:p>
        </w:tc>
        <w:tc>
          <w:tcPr>
            <w:tcW w:w="8853" w:type="dxa"/>
            <w:gridSpan w:val="5"/>
            <w:noWrap w:val="0"/>
            <w:vAlign w:val="center"/>
          </w:tcPr>
          <w:p w14:paraId="6011B1AA">
            <w:pPr>
              <w:adjustRightInd w:val="0"/>
              <w:snapToGrid w:val="0"/>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进大门高清大屏    </w:t>
            </w:r>
          </w:p>
          <w:p w14:paraId="5D26C590">
            <w:pPr>
              <w:adjustRightInd w:val="0"/>
              <w:snapToGrid w:val="0"/>
              <w:rPr>
                <w:rFonts w:hint="eastAsia" w:ascii="仿宋" w:hAnsi="仿宋" w:eastAsia="仿宋" w:cs="仿宋"/>
                <w:sz w:val="28"/>
                <w:szCs w:val="28"/>
              </w:rPr>
            </w:pPr>
            <w:r>
              <w:rPr>
                <w:rFonts w:hint="eastAsia" w:ascii="仿宋" w:hAnsi="仿宋" w:eastAsia="仿宋" w:cs="仿宋"/>
                <w:sz w:val="28"/>
                <w:szCs w:val="28"/>
              </w:rPr>
              <w:t>□报告厅</w:t>
            </w:r>
            <w:r>
              <w:rPr>
                <w:rFonts w:hint="eastAsia" w:ascii="仿宋" w:hAnsi="仿宋" w:eastAsia="仿宋" w:cs="仿宋"/>
                <w:sz w:val="28"/>
                <w:szCs w:val="28"/>
                <w:lang w:val="en-US" w:eastAsia="zh-CN"/>
              </w:rPr>
              <w:t>101</w:t>
            </w:r>
            <w:r>
              <w:rPr>
                <w:rFonts w:hint="eastAsia" w:ascii="仿宋" w:hAnsi="仿宋" w:eastAsia="仿宋" w:cs="仿宋"/>
                <w:sz w:val="28"/>
                <w:szCs w:val="28"/>
              </w:rPr>
              <w:t xml:space="preserve">（可容纳106人）     </w:t>
            </w:r>
          </w:p>
          <w:p w14:paraId="6CB6B776">
            <w:pPr>
              <w:adjustRightInd w:val="0"/>
              <w:snapToGrid w:val="0"/>
              <w:rPr>
                <w:rFonts w:hint="eastAsia" w:ascii="仿宋" w:hAnsi="仿宋" w:eastAsia="仿宋" w:cs="仿宋"/>
                <w:sz w:val="28"/>
                <w:szCs w:val="28"/>
              </w:rPr>
            </w:pPr>
            <w:r>
              <w:rPr>
                <w:rFonts w:hint="eastAsia" w:ascii="仿宋" w:hAnsi="仿宋" w:eastAsia="仿宋" w:cs="仿宋"/>
                <w:sz w:val="28"/>
                <w:szCs w:val="28"/>
              </w:rPr>
              <w:t>□阶梯教室</w:t>
            </w:r>
            <w:r>
              <w:rPr>
                <w:rFonts w:hint="eastAsia" w:ascii="仿宋" w:hAnsi="仿宋" w:eastAsia="仿宋" w:cs="仿宋"/>
                <w:sz w:val="28"/>
                <w:szCs w:val="28"/>
                <w:lang w:val="en-US" w:eastAsia="zh-CN"/>
              </w:rPr>
              <w:t>104</w:t>
            </w:r>
            <w:r>
              <w:rPr>
                <w:rFonts w:hint="eastAsia" w:ascii="仿宋" w:hAnsi="仿宋" w:eastAsia="仿宋" w:cs="仿宋"/>
                <w:sz w:val="28"/>
                <w:szCs w:val="28"/>
              </w:rPr>
              <w:t>（可容纳91人）</w:t>
            </w:r>
          </w:p>
          <w:p w14:paraId="17ACF74A">
            <w:pPr>
              <w:adjustRightInd w:val="0"/>
              <w:snapToGrid w:val="0"/>
              <w:rPr>
                <w:rFonts w:hint="eastAsia" w:ascii="仿宋" w:hAnsi="仿宋" w:eastAsia="仿宋" w:cs="仿宋"/>
                <w:sz w:val="28"/>
                <w:szCs w:val="28"/>
              </w:rPr>
            </w:pPr>
            <w:r>
              <w:rPr>
                <w:rFonts w:hint="eastAsia" w:ascii="仿宋" w:hAnsi="仿宋" w:eastAsia="仿宋" w:cs="仿宋"/>
                <w:sz w:val="28"/>
                <w:szCs w:val="28"/>
              </w:rPr>
              <w:t>□多功能厅</w:t>
            </w:r>
            <w:r>
              <w:rPr>
                <w:rFonts w:hint="eastAsia" w:ascii="仿宋" w:hAnsi="仿宋" w:eastAsia="仿宋" w:cs="仿宋"/>
                <w:sz w:val="28"/>
                <w:szCs w:val="28"/>
                <w:lang w:val="en-US" w:eastAsia="zh-CN"/>
              </w:rPr>
              <w:t>206</w:t>
            </w:r>
            <w:r>
              <w:rPr>
                <w:rFonts w:hint="eastAsia" w:ascii="仿宋" w:hAnsi="仿宋" w:eastAsia="仿宋" w:cs="仿宋"/>
                <w:sz w:val="28"/>
                <w:szCs w:val="28"/>
              </w:rPr>
              <w:t>（可容纳98人）</w:t>
            </w:r>
          </w:p>
          <w:p w14:paraId="2D184D26">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rPr>
              <w:t>□中型教室</w:t>
            </w:r>
            <w:r>
              <w:rPr>
                <w:rFonts w:hint="eastAsia" w:ascii="仿宋" w:hAnsi="仿宋" w:eastAsia="仿宋" w:cs="仿宋"/>
                <w:sz w:val="28"/>
                <w:szCs w:val="28"/>
                <w:lang w:val="en-US" w:eastAsia="zh-CN"/>
              </w:rPr>
              <w:t>201</w:t>
            </w:r>
            <w:r>
              <w:rPr>
                <w:rFonts w:hint="eastAsia" w:ascii="仿宋" w:hAnsi="仿宋" w:eastAsia="仿宋" w:cs="仿宋"/>
                <w:sz w:val="28"/>
                <w:szCs w:val="28"/>
              </w:rPr>
              <w:t>（可容纳40人</w:t>
            </w:r>
            <w:r>
              <w:rPr>
                <w:rFonts w:hint="eastAsia" w:ascii="仿宋" w:hAnsi="仿宋" w:eastAsia="仿宋" w:cs="仿宋"/>
                <w:sz w:val="28"/>
                <w:szCs w:val="28"/>
                <w:lang w:eastAsia="zh-CN"/>
              </w:rPr>
              <w:t>）</w:t>
            </w:r>
          </w:p>
          <w:p w14:paraId="2EB30E44">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rPr>
              <w:t>□中型教室</w:t>
            </w:r>
            <w:r>
              <w:rPr>
                <w:rFonts w:hint="eastAsia" w:ascii="仿宋" w:hAnsi="仿宋" w:eastAsia="仿宋" w:cs="仿宋"/>
                <w:sz w:val="28"/>
                <w:szCs w:val="28"/>
                <w:lang w:val="en-US" w:eastAsia="zh-CN"/>
              </w:rPr>
              <w:t>202</w:t>
            </w:r>
            <w:r>
              <w:rPr>
                <w:rFonts w:hint="eastAsia" w:ascii="仿宋" w:hAnsi="仿宋" w:eastAsia="仿宋" w:cs="仿宋"/>
                <w:sz w:val="28"/>
                <w:szCs w:val="28"/>
              </w:rPr>
              <w:t>（可容纳40人</w:t>
            </w:r>
            <w:r>
              <w:rPr>
                <w:rFonts w:hint="eastAsia" w:ascii="仿宋" w:hAnsi="仿宋" w:eastAsia="仿宋" w:cs="仿宋"/>
                <w:sz w:val="28"/>
                <w:szCs w:val="28"/>
                <w:lang w:eastAsia="zh-CN"/>
              </w:rPr>
              <w:t>）</w:t>
            </w:r>
          </w:p>
          <w:p w14:paraId="086A44E5">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□智慧教室</w:t>
            </w:r>
            <w:r>
              <w:rPr>
                <w:rFonts w:hint="eastAsia" w:ascii="仿宋" w:hAnsi="仿宋" w:eastAsia="仿宋" w:cs="仿宋"/>
                <w:sz w:val="28"/>
                <w:szCs w:val="28"/>
                <w:lang w:val="en-US" w:eastAsia="zh-CN"/>
              </w:rPr>
              <w:t>207</w:t>
            </w:r>
            <w:r>
              <w:rPr>
                <w:rFonts w:hint="eastAsia" w:ascii="仿宋" w:hAnsi="仿宋" w:eastAsia="仿宋" w:cs="仿宋"/>
                <w:sz w:val="28"/>
                <w:szCs w:val="28"/>
              </w:rPr>
              <w:t>（可容纳36人</w:t>
            </w:r>
            <w:r>
              <w:rPr>
                <w:rFonts w:hint="eastAsia" w:ascii="仿宋" w:hAnsi="仿宋" w:eastAsia="仿宋" w:cs="仿宋"/>
                <w:sz w:val="28"/>
                <w:szCs w:val="28"/>
                <w:lang w:eastAsia="zh-CN"/>
              </w:rPr>
              <w:t>）</w:t>
            </w:r>
          </w:p>
          <w:p w14:paraId="3DAC4BD5">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□智慧教室</w:t>
            </w:r>
            <w:r>
              <w:rPr>
                <w:rFonts w:hint="eastAsia" w:ascii="仿宋" w:hAnsi="仿宋" w:eastAsia="仿宋" w:cs="仿宋"/>
                <w:sz w:val="28"/>
                <w:szCs w:val="28"/>
                <w:lang w:val="en-US" w:eastAsia="zh-CN"/>
              </w:rPr>
              <w:t>209</w:t>
            </w:r>
            <w:r>
              <w:rPr>
                <w:rFonts w:hint="eastAsia" w:ascii="仿宋" w:hAnsi="仿宋" w:eastAsia="仿宋" w:cs="仿宋"/>
                <w:sz w:val="28"/>
                <w:szCs w:val="28"/>
              </w:rPr>
              <w:t>（可容纳36人</w:t>
            </w:r>
            <w:r>
              <w:rPr>
                <w:rFonts w:hint="eastAsia" w:ascii="仿宋" w:hAnsi="仿宋" w:eastAsia="仿宋" w:cs="仿宋"/>
                <w:sz w:val="28"/>
                <w:szCs w:val="28"/>
                <w:lang w:eastAsia="zh-CN"/>
              </w:rPr>
              <w:t>）</w:t>
            </w:r>
          </w:p>
          <w:p w14:paraId="3F67917C">
            <w:pPr>
              <w:adjustRightInd w:val="0"/>
              <w:snapToGrid w:val="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1号</w:t>
            </w:r>
            <w:r>
              <w:rPr>
                <w:rFonts w:hint="eastAsia" w:ascii="仿宋" w:hAnsi="仿宋" w:eastAsia="仿宋" w:cs="仿宋"/>
                <w:sz w:val="28"/>
                <w:szCs w:val="28"/>
              </w:rPr>
              <w:t xml:space="preserve">会议室（可容纳42人）  </w:t>
            </w:r>
          </w:p>
          <w:p w14:paraId="0F1B6A27">
            <w:pPr>
              <w:adjustRightInd w:val="0"/>
              <w:snapToGrid w:val="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2号</w:t>
            </w:r>
            <w:r>
              <w:rPr>
                <w:rFonts w:hint="eastAsia" w:ascii="仿宋" w:hAnsi="仿宋" w:eastAsia="仿宋" w:cs="仿宋"/>
                <w:sz w:val="28"/>
                <w:szCs w:val="28"/>
              </w:rPr>
              <w:t xml:space="preserve">会议室（可容纳18人） </w:t>
            </w:r>
          </w:p>
          <w:p w14:paraId="7F2DC51A">
            <w:pPr>
              <w:adjustRightInd w:val="0"/>
              <w:snapToGrid w:val="0"/>
              <w:rPr>
                <w:rFonts w:hint="eastAsia" w:ascii="仿宋" w:hAnsi="仿宋" w:eastAsia="仿宋" w:cs="仿宋"/>
                <w:sz w:val="28"/>
                <w:szCs w:val="28"/>
              </w:rPr>
            </w:pPr>
            <w:r>
              <w:rPr>
                <w:rFonts w:hint="eastAsia" w:ascii="仿宋" w:hAnsi="仿宋" w:eastAsia="仿宋" w:cs="仿宋"/>
                <w:sz w:val="28"/>
                <w:szCs w:val="28"/>
              </w:rPr>
              <w:t>□研讨室（可容纳10-12人，共8间），借用数量</w:t>
            </w:r>
            <w:r>
              <w:rPr>
                <w:rFonts w:hint="eastAsia" w:ascii="仿宋" w:hAnsi="仿宋" w:eastAsia="仿宋" w:cs="仿宋"/>
                <w:sz w:val="28"/>
                <w:szCs w:val="28"/>
                <w:u w:val="single"/>
              </w:rPr>
              <w:t xml:space="preserve">      </w:t>
            </w:r>
            <w:r>
              <w:rPr>
                <w:rFonts w:hint="eastAsia" w:ascii="仿宋" w:hAnsi="仿宋" w:eastAsia="仿宋" w:cs="仿宋"/>
                <w:sz w:val="28"/>
                <w:szCs w:val="28"/>
              </w:rPr>
              <w:t>间</w:t>
            </w:r>
          </w:p>
        </w:tc>
      </w:tr>
      <w:tr w14:paraId="75CE0F08">
        <w:trPr>
          <w:trHeight w:val="1547" w:hRule="atLeast"/>
        </w:trPr>
        <w:tc>
          <w:tcPr>
            <w:tcW w:w="1515" w:type="dxa"/>
            <w:noWrap w:val="0"/>
            <w:vAlign w:val="center"/>
          </w:tcPr>
          <w:p w14:paraId="410E7558">
            <w:pPr>
              <w:jc w:val="center"/>
              <w:rPr>
                <w:rFonts w:hint="eastAsia" w:ascii="仿宋" w:hAnsi="仿宋" w:eastAsia="仿宋" w:cs="仿宋"/>
                <w:sz w:val="28"/>
                <w:szCs w:val="28"/>
              </w:rPr>
            </w:pPr>
            <w:r>
              <w:rPr>
                <w:rFonts w:hint="eastAsia" w:ascii="仿宋" w:hAnsi="仿宋" w:eastAsia="仿宋" w:cs="仿宋"/>
                <w:sz w:val="28"/>
                <w:szCs w:val="28"/>
                <w:lang w:val="en-US" w:eastAsia="zh-CN"/>
              </w:rPr>
              <w:t>服务</w:t>
            </w:r>
            <w:r>
              <w:rPr>
                <w:rFonts w:hint="eastAsia" w:ascii="仿宋" w:hAnsi="仿宋" w:eastAsia="仿宋" w:cs="仿宋"/>
                <w:sz w:val="28"/>
                <w:szCs w:val="28"/>
              </w:rPr>
              <w:t>需求</w:t>
            </w:r>
          </w:p>
          <w:p w14:paraId="57DFE5A6">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收费</w:t>
            </w:r>
            <w:r>
              <w:rPr>
                <w:rFonts w:hint="eastAsia" w:ascii="仿宋" w:hAnsi="仿宋" w:eastAsia="仿宋" w:cs="仿宋"/>
                <w:sz w:val="28"/>
                <w:szCs w:val="28"/>
                <w:lang w:eastAsia="zh-CN"/>
              </w:rPr>
              <w:t>）</w:t>
            </w:r>
          </w:p>
        </w:tc>
        <w:tc>
          <w:tcPr>
            <w:tcW w:w="8853" w:type="dxa"/>
            <w:gridSpan w:val="5"/>
            <w:noWrap w:val="0"/>
            <w:vAlign w:val="center"/>
          </w:tcPr>
          <w:p w14:paraId="242BED0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sz w:val="28"/>
                <w:szCs w:val="28"/>
                <w:lang w:val="en-US"/>
              </w:rPr>
            </w:pPr>
            <w:r>
              <w:rPr>
                <w:rFonts w:hint="eastAsia" w:ascii="仿宋" w:hAnsi="仿宋" w:eastAsia="仿宋" w:cs="仿宋"/>
                <w:sz w:val="28"/>
                <w:szCs w:val="28"/>
              </w:rPr>
              <w:t>□</w:t>
            </w:r>
            <w:r>
              <w:rPr>
                <w:rFonts w:hint="eastAsia" w:ascii="仿宋" w:hAnsi="仿宋" w:eastAsia="仿宋" w:cs="仿宋"/>
                <w:sz w:val="28"/>
                <w:szCs w:val="28"/>
                <w:lang w:val="en-US" w:eastAsia="zh-CN"/>
              </w:rPr>
              <w:t>31号楼教室服务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使用时间和人数：</w:t>
            </w:r>
            <w:r>
              <w:rPr>
                <w:rFonts w:hint="eastAsia" w:ascii="仿宋" w:hAnsi="仿宋" w:eastAsia="仿宋" w:cs="仿宋"/>
                <w:sz w:val="28"/>
                <w:szCs w:val="28"/>
                <w:u w:val="single"/>
                <w:lang w:val="en-US" w:eastAsia="zh-CN"/>
              </w:rPr>
              <w:t xml:space="preserve">                                    </w:t>
            </w:r>
          </w:p>
          <w:p w14:paraId="2C27BD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35号楼</w:t>
            </w:r>
            <w:r>
              <w:rPr>
                <w:rFonts w:hint="eastAsia" w:ascii="仿宋" w:hAnsi="仿宋" w:eastAsia="仿宋" w:cs="仿宋"/>
                <w:sz w:val="28"/>
                <w:szCs w:val="28"/>
                <w:lang w:val="en-US" w:eastAsia="zh-CN"/>
              </w:rPr>
              <w:t>公寓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住宿时间和人数：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A9E00B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□建行学院餐厅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用餐时间和人数：</w:t>
            </w:r>
            <w:r>
              <w:rPr>
                <w:rFonts w:hint="eastAsia" w:ascii="仿宋" w:hAnsi="仿宋" w:eastAsia="仿宋" w:cs="仿宋"/>
                <w:sz w:val="28"/>
                <w:szCs w:val="28"/>
                <w:u w:val="single"/>
                <w:lang w:val="en-US" w:eastAsia="zh-CN"/>
              </w:rPr>
              <w:t xml:space="preserve">                                      </w:t>
            </w:r>
          </w:p>
        </w:tc>
      </w:tr>
      <w:tr w14:paraId="2A858208">
        <w:trPr>
          <w:trHeight w:val="3307" w:hRule="atLeast"/>
        </w:trPr>
        <w:tc>
          <w:tcPr>
            <w:tcW w:w="3352" w:type="dxa"/>
            <w:gridSpan w:val="2"/>
            <w:tcBorders>
              <w:right w:val="single" w:color="auto" w:sz="4" w:space="0"/>
            </w:tcBorders>
            <w:noWrap w:val="0"/>
            <w:vAlign w:val="top"/>
          </w:tcPr>
          <w:p w14:paraId="1E23E02F">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r>
              <w:rPr>
                <w:rFonts w:hint="eastAsia" w:ascii="仿宋" w:hAnsi="仿宋" w:eastAsia="仿宋" w:cs="仿宋"/>
                <w:sz w:val="28"/>
                <w:szCs w:val="28"/>
              </w:rPr>
              <w:t>申请单位意见：</w:t>
            </w:r>
          </w:p>
          <w:p w14:paraId="2032E5C5">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41E6ABD0">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3293CB3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648BDF8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 xml:space="preserve">         </w:t>
            </w:r>
          </w:p>
          <w:p w14:paraId="57FC2C2F">
            <w:pPr>
              <w:keepNext w:val="0"/>
              <w:keepLines w:val="0"/>
              <w:pageBreakBefore w:val="0"/>
              <w:widowControl w:val="0"/>
              <w:kinsoku/>
              <w:wordWrap/>
              <w:overflowPunct/>
              <w:topLinePunct w:val="0"/>
              <w:autoSpaceDE/>
              <w:autoSpaceDN/>
              <w:bidi w:val="0"/>
              <w:adjustRightInd w:val="0"/>
              <w:snapToGrid w:val="0"/>
              <w:ind w:left="1676" w:leftChars="798" w:firstLine="1680" w:firstLineChars="600"/>
              <w:textAlignment w:val="auto"/>
              <w:rPr>
                <w:rFonts w:hint="eastAsia" w:ascii="仿宋" w:hAnsi="仿宋" w:eastAsia="仿宋" w:cs="仿宋"/>
                <w:sz w:val="28"/>
                <w:szCs w:val="28"/>
                <w:lang w:val="en-US" w:eastAsia="zh-CN"/>
              </w:rPr>
            </w:pPr>
          </w:p>
          <w:p w14:paraId="2BF7B9B1">
            <w:pPr>
              <w:keepNext w:val="0"/>
              <w:keepLines w:val="0"/>
              <w:pageBreakBefore w:val="0"/>
              <w:widowControl w:val="0"/>
              <w:kinsoku/>
              <w:wordWrap/>
              <w:overflowPunct/>
              <w:topLinePunct w:val="0"/>
              <w:autoSpaceDE/>
              <w:autoSpaceDN/>
              <w:bidi w:val="0"/>
              <w:adjustRightInd w:val="0"/>
              <w:snapToGrid w:val="0"/>
              <w:ind w:left="1676" w:leftChars="798" w:firstLine="0" w:firstLineChars="0"/>
              <w:jc w:val="left"/>
              <w:textAlignment w:val="auto"/>
              <w:rPr>
                <w:rFonts w:hint="eastAsia" w:ascii="仿宋" w:hAnsi="仿宋" w:eastAsia="仿宋" w:cs="仿宋"/>
                <w:sz w:val="28"/>
                <w:szCs w:val="28"/>
                <w:lang w:val="en-US" w:eastAsia="zh-CN"/>
              </w:rPr>
            </w:pPr>
          </w:p>
          <w:p w14:paraId="158F9190">
            <w:pPr>
              <w:keepNext w:val="0"/>
              <w:keepLines w:val="0"/>
              <w:pageBreakBefore w:val="0"/>
              <w:widowControl w:val="0"/>
              <w:kinsoku/>
              <w:wordWrap/>
              <w:overflowPunct/>
              <w:topLinePunct w:val="0"/>
              <w:autoSpaceDE/>
              <w:autoSpaceDN/>
              <w:bidi w:val="0"/>
              <w:adjustRightInd w:val="0"/>
              <w:snapToGrid w:val="0"/>
              <w:ind w:left="1676" w:leftChars="798"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c>
          <w:tcPr>
            <w:tcW w:w="3390" w:type="dxa"/>
            <w:gridSpan w:val="2"/>
            <w:tcBorders>
              <w:left w:val="single" w:color="auto" w:sz="4" w:space="0"/>
              <w:right w:val="single" w:color="auto" w:sz="4" w:space="0"/>
            </w:tcBorders>
            <w:noWrap w:val="0"/>
            <w:vAlign w:val="top"/>
          </w:tcPr>
          <w:p w14:paraId="61C08E55">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校友工作与社会合作部意见</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校友活动填写此栏</w:t>
            </w:r>
            <w:r>
              <w:rPr>
                <w:rFonts w:hint="eastAsia" w:ascii="仿宋" w:hAnsi="仿宋" w:eastAsia="仿宋" w:cs="仿宋"/>
                <w:sz w:val="28"/>
                <w:szCs w:val="28"/>
                <w:lang w:eastAsia="zh-CN"/>
              </w:rPr>
              <w:t>）</w:t>
            </w:r>
          </w:p>
          <w:p w14:paraId="6853CFE9">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2431A70B">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24B92B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 xml:space="preserve">         </w:t>
            </w:r>
          </w:p>
          <w:p w14:paraId="72553A6F">
            <w:pPr>
              <w:keepNext w:val="0"/>
              <w:keepLines w:val="0"/>
              <w:pageBreakBefore w:val="0"/>
              <w:widowControl w:val="0"/>
              <w:kinsoku/>
              <w:wordWrap/>
              <w:overflowPunct/>
              <w:topLinePunct w:val="0"/>
              <w:autoSpaceDE/>
              <w:autoSpaceDN/>
              <w:bidi w:val="0"/>
              <w:adjustRightInd w:val="0"/>
              <w:snapToGrid w:val="0"/>
              <w:ind w:left="1676" w:leftChars="798" w:firstLine="1680" w:firstLineChars="600"/>
              <w:textAlignment w:val="auto"/>
              <w:rPr>
                <w:rFonts w:hint="eastAsia" w:ascii="仿宋" w:hAnsi="仿宋" w:eastAsia="仿宋" w:cs="仿宋"/>
                <w:sz w:val="28"/>
                <w:szCs w:val="28"/>
                <w:lang w:val="en-US" w:eastAsia="zh-CN"/>
              </w:rPr>
            </w:pPr>
          </w:p>
          <w:p w14:paraId="30FD52C7">
            <w:pPr>
              <w:keepNext w:val="0"/>
              <w:keepLines w:val="0"/>
              <w:pageBreakBefore w:val="0"/>
              <w:widowControl w:val="0"/>
              <w:kinsoku/>
              <w:wordWrap/>
              <w:overflowPunct/>
              <w:topLinePunct w:val="0"/>
              <w:autoSpaceDE/>
              <w:autoSpaceDN/>
              <w:bidi w:val="0"/>
              <w:adjustRightInd w:val="0"/>
              <w:snapToGrid w:val="0"/>
              <w:ind w:left="1960" w:hanging="1960" w:hangingChars="7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6AF0CE65">
            <w:pPr>
              <w:keepNext w:val="0"/>
              <w:keepLines w:val="0"/>
              <w:pageBreakBefore w:val="0"/>
              <w:widowControl w:val="0"/>
              <w:kinsoku/>
              <w:wordWrap/>
              <w:overflowPunct/>
              <w:topLinePunct w:val="0"/>
              <w:autoSpaceDE/>
              <w:autoSpaceDN/>
              <w:bidi w:val="0"/>
              <w:adjustRightInd w:val="0"/>
              <w:snapToGrid w:val="0"/>
              <w:ind w:left="1955" w:leftChars="931"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c>
          <w:tcPr>
            <w:tcW w:w="3626" w:type="dxa"/>
            <w:gridSpan w:val="2"/>
            <w:tcBorders>
              <w:left w:val="single" w:color="auto" w:sz="4" w:space="0"/>
            </w:tcBorders>
            <w:noWrap w:val="0"/>
            <w:vAlign w:val="top"/>
          </w:tcPr>
          <w:p w14:paraId="28AE95E0">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r>
              <w:rPr>
                <w:rFonts w:hint="eastAsia" w:ascii="仿宋" w:hAnsi="仿宋" w:eastAsia="仿宋" w:cs="仿宋"/>
                <w:sz w:val="28"/>
                <w:szCs w:val="28"/>
              </w:rPr>
              <w:t>建行学院意见：</w:t>
            </w:r>
          </w:p>
          <w:p w14:paraId="045F0F5C">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sz w:val="28"/>
                <w:szCs w:val="28"/>
              </w:rPr>
            </w:pPr>
          </w:p>
          <w:p w14:paraId="52CBFC2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06C1D61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059AAA3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负责人签字：</w:t>
            </w:r>
          </w:p>
          <w:p w14:paraId="41267160">
            <w:pPr>
              <w:keepNext w:val="0"/>
              <w:keepLines w:val="0"/>
              <w:pageBreakBefore w:val="0"/>
              <w:widowControl w:val="0"/>
              <w:kinsoku/>
              <w:wordWrap/>
              <w:overflowPunct/>
              <w:topLinePunct w:val="0"/>
              <w:autoSpaceDE/>
              <w:autoSpaceDN/>
              <w:bidi w:val="0"/>
              <w:adjustRightInd w:val="0"/>
              <w:snapToGrid w:val="0"/>
              <w:ind w:left="2240" w:hanging="2240" w:hangingChars="8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BF68696">
            <w:pPr>
              <w:keepNext w:val="0"/>
              <w:keepLines w:val="0"/>
              <w:pageBreakBefore w:val="0"/>
              <w:widowControl w:val="0"/>
              <w:kinsoku/>
              <w:wordWrap/>
              <w:overflowPunct/>
              <w:topLinePunct w:val="0"/>
              <w:autoSpaceDE/>
              <w:autoSpaceDN/>
              <w:bidi w:val="0"/>
              <w:adjustRightInd w:val="0"/>
              <w:snapToGrid w:val="0"/>
              <w:ind w:left="2240" w:hanging="2240" w:hangingChars="800"/>
              <w:jc w:val="left"/>
              <w:textAlignment w:val="auto"/>
              <w:rPr>
                <w:rFonts w:hint="eastAsia" w:ascii="仿宋" w:hAnsi="仿宋" w:eastAsia="仿宋" w:cs="仿宋"/>
                <w:sz w:val="28"/>
                <w:szCs w:val="28"/>
                <w:lang w:val="en-US" w:eastAsia="zh-CN"/>
              </w:rPr>
            </w:pPr>
          </w:p>
          <w:p w14:paraId="2A828013">
            <w:pPr>
              <w:keepNext w:val="0"/>
              <w:keepLines w:val="0"/>
              <w:pageBreakBefore w:val="0"/>
              <w:widowControl w:val="0"/>
              <w:kinsoku/>
              <w:wordWrap/>
              <w:overflowPunct/>
              <w:topLinePunct w:val="0"/>
              <w:autoSpaceDE/>
              <w:autoSpaceDN/>
              <w:bidi w:val="0"/>
              <w:adjustRightInd w:val="0"/>
              <w:snapToGrid w:val="0"/>
              <w:ind w:left="2234" w:leftChars="1064"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r>
              <w:rPr>
                <w:rFonts w:hint="eastAsia" w:ascii="仿宋" w:hAnsi="仿宋" w:eastAsia="仿宋" w:cs="仿宋"/>
                <w:sz w:val="28"/>
                <w:szCs w:val="28"/>
                <w:lang w:val="en-US" w:eastAsia="zh-CN"/>
              </w:rPr>
              <w:t xml:space="preserve">  </w:t>
            </w:r>
          </w:p>
        </w:tc>
      </w:tr>
    </w:tbl>
    <w:p w14:paraId="2123B907">
      <w:pPr>
        <w:spacing w:line="240" w:lineRule="auto"/>
        <w:jc w:val="left"/>
        <w:rPr>
          <w:rFonts w:hint="eastAsia" w:ascii="楷体" w:hAnsi="楷体" w:eastAsia="楷体" w:cs="楷体"/>
          <w:b/>
          <w:bCs/>
          <w:color w:val="FF0000"/>
          <w:sz w:val="24"/>
          <w:szCs w:val="24"/>
          <w:lang w:val="en-US" w:eastAsia="zh-CN"/>
        </w:rPr>
      </w:pPr>
      <w:r>
        <w:rPr>
          <w:rFonts w:hint="eastAsia" w:ascii="楷体" w:hAnsi="楷体" w:eastAsia="楷体" w:cs="楷体"/>
          <w:b/>
          <w:bCs/>
          <w:color w:val="FF0000"/>
          <w:sz w:val="24"/>
          <w:szCs w:val="24"/>
          <w:lang w:val="en-US" w:eastAsia="zh-CN"/>
        </w:rPr>
        <w:t>注意事项：1.请按照《建行学院办学专用设施（场地）使用管理办法》相关规定，规范使用场地及设施；2.建设银行拥有办学专用设施（场地）的优先使用权，若在借用期间，建设银行的培训需求与借用单位发生冲突，则优先满足建设银行的需求，请借用单位提前做好预案。</w:t>
      </w:r>
    </w:p>
    <w:p w14:paraId="1DA97B32">
      <w:pPr>
        <w:spacing w:line="276" w:lineRule="auto"/>
        <w:ind w:right="640"/>
        <w:jc w:val="left"/>
        <w:rPr>
          <w:rFonts w:hint="eastAsia" w:ascii="仿宋_GB2312" w:hAnsi="黑体" w:eastAsia="仿宋_GB2312"/>
          <w:b/>
          <w:sz w:val="30"/>
          <w:szCs w:val="30"/>
        </w:rPr>
      </w:pPr>
    </w:p>
    <w:sectPr>
      <w:pgSz w:w="11906" w:h="16838"/>
      <w:pgMar w:top="1440" w:right="924" w:bottom="1021" w:left="9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OTlkYzAzMDcyYzcyNDFmNzM0MjI3Y2ZiMWM3YzcifQ=="/>
  </w:docVars>
  <w:rsids>
    <w:rsidRoot w:val="00E40C05"/>
    <w:rsid w:val="00010DE6"/>
    <w:rsid w:val="000961AC"/>
    <w:rsid w:val="000B2182"/>
    <w:rsid w:val="000E1F91"/>
    <w:rsid w:val="000F10D3"/>
    <w:rsid w:val="000F2FC7"/>
    <w:rsid w:val="00125AC8"/>
    <w:rsid w:val="00126C53"/>
    <w:rsid w:val="00187466"/>
    <w:rsid w:val="001C45E9"/>
    <w:rsid w:val="002130BD"/>
    <w:rsid w:val="00230E94"/>
    <w:rsid w:val="002934F9"/>
    <w:rsid w:val="002C3BEA"/>
    <w:rsid w:val="00375540"/>
    <w:rsid w:val="003B5C68"/>
    <w:rsid w:val="003C59F2"/>
    <w:rsid w:val="003E18D2"/>
    <w:rsid w:val="003E4CB9"/>
    <w:rsid w:val="0040255C"/>
    <w:rsid w:val="00402EDC"/>
    <w:rsid w:val="00432595"/>
    <w:rsid w:val="0043774B"/>
    <w:rsid w:val="004523E8"/>
    <w:rsid w:val="004E168C"/>
    <w:rsid w:val="00500A05"/>
    <w:rsid w:val="00544A32"/>
    <w:rsid w:val="005D657E"/>
    <w:rsid w:val="005F33A3"/>
    <w:rsid w:val="0061336D"/>
    <w:rsid w:val="006369C3"/>
    <w:rsid w:val="0066109D"/>
    <w:rsid w:val="00693ADB"/>
    <w:rsid w:val="006B0838"/>
    <w:rsid w:val="006F0B67"/>
    <w:rsid w:val="007409BA"/>
    <w:rsid w:val="00744D10"/>
    <w:rsid w:val="00746904"/>
    <w:rsid w:val="00774D00"/>
    <w:rsid w:val="00781FE3"/>
    <w:rsid w:val="007C4DF1"/>
    <w:rsid w:val="00891658"/>
    <w:rsid w:val="008D7170"/>
    <w:rsid w:val="008F3DF0"/>
    <w:rsid w:val="009178BB"/>
    <w:rsid w:val="00922F66"/>
    <w:rsid w:val="00930111"/>
    <w:rsid w:val="009829A2"/>
    <w:rsid w:val="009A40E2"/>
    <w:rsid w:val="009A65EC"/>
    <w:rsid w:val="009B5A97"/>
    <w:rsid w:val="009D24E9"/>
    <w:rsid w:val="009F1A8E"/>
    <w:rsid w:val="00A15B9E"/>
    <w:rsid w:val="00A41480"/>
    <w:rsid w:val="00A4778C"/>
    <w:rsid w:val="00A84E50"/>
    <w:rsid w:val="00AA1C98"/>
    <w:rsid w:val="00B14239"/>
    <w:rsid w:val="00B40A48"/>
    <w:rsid w:val="00B70B1B"/>
    <w:rsid w:val="00B97E15"/>
    <w:rsid w:val="00BA0649"/>
    <w:rsid w:val="00BA288A"/>
    <w:rsid w:val="00BA3F96"/>
    <w:rsid w:val="00BA5227"/>
    <w:rsid w:val="00BF3611"/>
    <w:rsid w:val="00C90F25"/>
    <w:rsid w:val="00CC6359"/>
    <w:rsid w:val="00CE0065"/>
    <w:rsid w:val="00D15109"/>
    <w:rsid w:val="00D3381E"/>
    <w:rsid w:val="00D57D3E"/>
    <w:rsid w:val="00DE09E8"/>
    <w:rsid w:val="00DE32B6"/>
    <w:rsid w:val="00E02C94"/>
    <w:rsid w:val="00E054A9"/>
    <w:rsid w:val="00E40C05"/>
    <w:rsid w:val="00E57F74"/>
    <w:rsid w:val="00E8084E"/>
    <w:rsid w:val="00E81ED9"/>
    <w:rsid w:val="00E93247"/>
    <w:rsid w:val="00EC1472"/>
    <w:rsid w:val="00EC3376"/>
    <w:rsid w:val="00EC7289"/>
    <w:rsid w:val="00EE2316"/>
    <w:rsid w:val="00EF348B"/>
    <w:rsid w:val="00F3239E"/>
    <w:rsid w:val="00F40266"/>
    <w:rsid w:val="00F46E50"/>
    <w:rsid w:val="00F92EF3"/>
    <w:rsid w:val="00FA5224"/>
    <w:rsid w:val="011369C2"/>
    <w:rsid w:val="02CA096A"/>
    <w:rsid w:val="0A9F01E6"/>
    <w:rsid w:val="0BFC2234"/>
    <w:rsid w:val="10CA7D05"/>
    <w:rsid w:val="127438A8"/>
    <w:rsid w:val="18A14856"/>
    <w:rsid w:val="1AB82502"/>
    <w:rsid w:val="1F795E5A"/>
    <w:rsid w:val="23EF2504"/>
    <w:rsid w:val="26671826"/>
    <w:rsid w:val="28F25845"/>
    <w:rsid w:val="29E34A36"/>
    <w:rsid w:val="2DE859E4"/>
    <w:rsid w:val="301663F8"/>
    <w:rsid w:val="32533B8D"/>
    <w:rsid w:val="34732D57"/>
    <w:rsid w:val="36B73353"/>
    <w:rsid w:val="40A32B51"/>
    <w:rsid w:val="43D575C3"/>
    <w:rsid w:val="4DD63C91"/>
    <w:rsid w:val="50FA2BEB"/>
    <w:rsid w:val="586631C9"/>
    <w:rsid w:val="5D750590"/>
    <w:rsid w:val="65AC4535"/>
    <w:rsid w:val="670C2AFE"/>
    <w:rsid w:val="6AEE559E"/>
    <w:rsid w:val="6FCA2551"/>
    <w:rsid w:val="729109BB"/>
    <w:rsid w:val="74E22279"/>
    <w:rsid w:val="778C159E"/>
    <w:rsid w:val="797A2849"/>
    <w:rsid w:val="7C561106"/>
    <w:rsid w:val="7C6A4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ody Text Indent"/>
    <w:basedOn w:val="1"/>
    <w:qFormat/>
    <w:uiPriority w:val="0"/>
    <w:pPr>
      <w:ind w:leftChars="-171" w:hanging="359" w:hangingChars="69"/>
      <w:jc w:val="center"/>
    </w:pPr>
    <w:rPr>
      <w:sz w:val="52"/>
    </w:rPr>
  </w:style>
  <w:style w:type="paragraph" w:styleId="4">
    <w:name w:val="Date"/>
    <w:basedOn w:val="1"/>
    <w:next w:val="1"/>
    <w:link w:val="13"/>
    <w:autoRedefine/>
    <w:semiHidden/>
    <w:unhideWhenUsed/>
    <w:qFormat/>
    <w:uiPriority w:val="99"/>
    <w:pPr>
      <w:ind w:left="100" w:leftChars="250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autoRedefine/>
    <w:qFormat/>
    <w:uiPriority w:val="20"/>
    <w:rPr>
      <w:i/>
      <w:i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日期 Char"/>
    <w:basedOn w:val="9"/>
    <w:link w:val="4"/>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1516-F28C-4BD8-A293-01D3008A66F2}">
  <ds:schemaRefs/>
</ds:datastoreItem>
</file>

<file path=docProps/app.xml><?xml version="1.0" encoding="utf-8"?>
<Properties xmlns="http://schemas.openxmlformats.org/officeDocument/2006/extended-properties" xmlns:vt="http://schemas.openxmlformats.org/officeDocument/2006/docPropsVTypes">
  <Template>Normal</Template>
  <Pages>5</Pages>
  <Words>2126</Words>
  <Characters>2204</Characters>
  <Lines>10</Lines>
  <Paragraphs>3</Paragraphs>
  <TotalTime>51</TotalTime>
  <ScaleCrop>false</ScaleCrop>
  <LinksUpToDate>false</LinksUpToDate>
  <CharactersWithSpaces>2702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2022-08-03T05:09:00Z</dcterms:created>
  <dc:creator>聂飒</dc:creator>
  <cp:lastModifiedBy>过于严格一</cp:lastModifiedBy>
  <cp:lastPrinted>2024-03-27T07:32:00Z</cp:lastPrinted>
  <dcterms:modified xsi:type="dcterms:W3CDTF">2025-03-11T03:09:22Z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2E8DC53CF0BE471DAA76B7B530089FAF_13</vt:lpwstr>
  </property>
  <property fmtid="{D5CDD505-2E9C-101B-9397-08002B2CF9AE}" pid="4" name="KSOTemplateDocerSaveRecord">
    <vt:lpwstr>eyJoZGlkIjoiOWU5OTlkYzAzMDcyYzcyNDFmNzM0MjI3Y2ZiMWM3YzciLCJ1c2VySWQiOiIyNjQyNjY1MDAifQ==</vt:lpwstr>
  </property>
</Properties>
</file>